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8EFD9" w14:textId="38664BB2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5846B5">
        <w:rPr>
          <w:b/>
          <w:i/>
          <w:noProof/>
          <w:sz w:val="28"/>
        </w:rPr>
        <w:t>6397</w:t>
      </w:r>
    </w:p>
    <w:p w14:paraId="4F58A4D1" w14:textId="52E62D06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B30E9A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125A1">
        <w:rPr>
          <w:rFonts w:ascii="Arial" w:hAnsi="Arial"/>
          <w:b/>
          <w:lang w:val="en-US"/>
        </w:rPr>
        <w:t>Ericsson</w:t>
      </w:r>
    </w:p>
    <w:p w14:paraId="7C9F0994" w14:textId="0FCB0B4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125A1" w:rsidRPr="00C125A1">
        <w:rPr>
          <w:rFonts w:ascii="Arial" w:hAnsi="Arial" w:cs="Arial"/>
          <w:b/>
        </w:rPr>
        <w:t xml:space="preserve">Discussion paper on composite management service for </w:t>
      </w:r>
      <w:proofErr w:type="spellStart"/>
      <w:r w:rsidR="00C125A1" w:rsidRPr="00C125A1">
        <w:rPr>
          <w:rFonts w:ascii="Arial" w:hAnsi="Arial" w:cs="Arial"/>
          <w:b/>
        </w:rPr>
        <w:t>Cosla</w:t>
      </w:r>
      <w:proofErr w:type="spellEnd"/>
    </w:p>
    <w:p w14:paraId="7C3F786F" w14:textId="37435DC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E3972">
        <w:rPr>
          <w:rFonts w:ascii="Arial" w:hAnsi="Arial"/>
          <w:b/>
          <w:lang w:eastAsia="zh-CN"/>
        </w:rPr>
        <w:t>Endorsement</w:t>
      </w:r>
    </w:p>
    <w:p w14:paraId="29FC3C54" w14:textId="18614FE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2B94">
        <w:rPr>
          <w:rFonts w:ascii="Arial" w:hAnsi="Arial"/>
          <w:b/>
        </w:rPr>
        <w:t>6.4.12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51CCE0CE" w:rsidR="00C022E3" w:rsidRDefault="00932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endorse the proposal in section 4</w:t>
      </w:r>
      <w:r w:rsidR="00C022E3">
        <w:rPr>
          <w:b/>
          <w:i/>
        </w:rPr>
        <w:t>.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8BD99CB" w14:textId="1F87D2CE" w:rsidR="00C022E3" w:rsidRDefault="00C022E3">
      <w:pPr>
        <w:pStyle w:val="Reference"/>
      </w:pPr>
      <w:r w:rsidRPr="00932B94">
        <w:t>[1]</w:t>
      </w:r>
      <w:r w:rsidRPr="00932B94">
        <w:tab/>
        <w:t xml:space="preserve">3GPP TS </w:t>
      </w:r>
      <w:r w:rsidR="00F82C6D">
        <w:t>28</w:t>
      </w:r>
      <w:r w:rsidRPr="00932B94">
        <w:t>.</w:t>
      </w:r>
      <w:r w:rsidR="00F82C6D">
        <w:t>536</w:t>
      </w:r>
      <w:r w:rsidR="00987AF6">
        <w:t>:</w:t>
      </w:r>
      <w:r w:rsidR="00F82C6D">
        <w:t xml:space="preserve"> </w:t>
      </w:r>
      <w:r w:rsidR="00987AF6">
        <w:t>"</w:t>
      </w:r>
      <w:r w:rsidR="00FF2E51" w:rsidRPr="00FF2E51">
        <w:t>Management and orchestration; Management services for communication service assurance; Stage 2 and stage 3</w:t>
      </w:r>
      <w:r w:rsidR="00987AF6">
        <w:t>"</w:t>
      </w:r>
    </w:p>
    <w:p w14:paraId="7BBEBA4B" w14:textId="77777777" w:rsidR="000E3972" w:rsidRDefault="000E3972" w:rsidP="000E3972">
      <w:pPr>
        <w:pStyle w:val="Reference"/>
      </w:pPr>
      <w:r>
        <w:t>[2]</w:t>
      </w:r>
      <w:r>
        <w:tab/>
        <w:t>3GPP TS 28.532: "</w:t>
      </w:r>
      <w:r w:rsidRPr="000E3972">
        <w:t>Management and orchestration; Generic management services</w:t>
      </w:r>
      <w:r>
        <w:t>"</w:t>
      </w:r>
    </w:p>
    <w:p w14:paraId="5D6D8D0A" w14:textId="63DFBFE6" w:rsidR="000E3972" w:rsidRPr="00932B94" w:rsidRDefault="000E3972" w:rsidP="000E3972">
      <w:pPr>
        <w:pStyle w:val="Reference"/>
      </w:pPr>
      <w:r>
        <w:t>[3]</w:t>
      </w:r>
      <w:r>
        <w:tab/>
      </w:r>
      <w:r>
        <w:tab/>
        <w:t>3GPP TS 28.622: "</w:t>
      </w:r>
      <w:r w:rsidRPr="000E3972">
        <w:t>Telecommunication management; Generic Network Resource Model (NRM) Integration Reference Point (IRP); Information Service (IS)</w:t>
      </w:r>
      <w:r>
        <w:t>"</w:t>
      </w:r>
    </w:p>
    <w:p w14:paraId="7AF88910" w14:textId="77777777" w:rsidR="00C022E3" w:rsidRPr="004D50C5" w:rsidRDefault="00C022E3">
      <w:pPr>
        <w:pStyle w:val="Heading1"/>
        <w:rPr>
          <w:rFonts w:ascii="Times New Roman" w:hAnsi="Times New Roman"/>
          <w:iCs/>
          <w:sz w:val="20"/>
        </w:rPr>
      </w:pPr>
      <w:r>
        <w:t>3</w:t>
      </w:r>
      <w:r>
        <w:tab/>
        <w:t>Rationale</w:t>
      </w:r>
    </w:p>
    <w:p w14:paraId="06A729F6" w14:textId="6DB9EC0D" w:rsidR="006E35C3" w:rsidRDefault="00987AF6">
      <w:pPr>
        <w:rPr>
          <w:iCs/>
        </w:rPr>
      </w:pPr>
      <w:r w:rsidRPr="00987AF6">
        <w:rPr>
          <w:iCs/>
        </w:rPr>
        <w:t xml:space="preserve">The procedure for closed loop is described in </w:t>
      </w:r>
      <w:r>
        <w:rPr>
          <w:iCs/>
        </w:rPr>
        <w:t>TS 28.536 [1]</w:t>
      </w:r>
      <w:r w:rsidR="00E965DB">
        <w:rPr>
          <w:iCs/>
        </w:rPr>
        <w:t xml:space="preserve"> as SLS Assuran</w:t>
      </w:r>
      <w:r w:rsidR="004D50C5">
        <w:rPr>
          <w:iCs/>
        </w:rPr>
        <w:t>c</w:t>
      </w:r>
      <w:r w:rsidR="00E965DB">
        <w:rPr>
          <w:iCs/>
        </w:rPr>
        <w:t>e Procedure</w:t>
      </w:r>
      <w:r w:rsidR="004D50C5">
        <w:rPr>
          <w:iCs/>
        </w:rPr>
        <w:t xml:space="preserve"> in clause </w:t>
      </w:r>
      <w:r w:rsidR="00BD5FB3">
        <w:rPr>
          <w:iCs/>
        </w:rPr>
        <w:t>4.1.3</w:t>
      </w:r>
      <w:r w:rsidR="005970A8">
        <w:rPr>
          <w:iCs/>
        </w:rPr>
        <w:t xml:space="preserve"> and the </w:t>
      </w:r>
      <w:r w:rsidR="00CA2806">
        <w:rPr>
          <w:iCs/>
        </w:rPr>
        <w:t xml:space="preserve">stage 2 </w:t>
      </w:r>
      <w:r w:rsidR="005970A8">
        <w:rPr>
          <w:iCs/>
        </w:rPr>
        <w:t xml:space="preserve">model </w:t>
      </w:r>
      <w:r w:rsidR="00B549A7">
        <w:rPr>
          <w:iCs/>
        </w:rPr>
        <w:t xml:space="preserve">that supports the procedure </w:t>
      </w:r>
      <w:r w:rsidR="00076A28">
        <w:rPr>
          <w:iCs/>
        </w:rPr>
        <w:t>is described in clause</w:t>
      </w:r>
      <w:r w:rsidR="001542C5">
        <w:rPr>
          <w:iCs/>
        </w:rPr>
        <w:t xml:space="preserve"> </w:t>
      </w:r>
      <w:r w:rsidR="005B3950">
        <w:rPr>
          <w:iCs/>
        </w:rPr>
        <w:t>4.1.2</w:t>
      </w:r>
      <w:r w:rsidR="00BD5FB3">
        <w:rPr>
          <w:iCs/>
        </w:rPr>
        <w:t>.</w:t>
      </w:r>
      <w:r w:rsidR="00A07D75">
        <w:rPr>
          <w:iCs/>
        </w:rPr>
        <w:t xml:space="preserve"> It may be useful </w:t>
      </w:r>
      <w:r w:rsidR="005970A8">
        <w:rPr>
          <w:iCs/>
        </w:rPr>
        <w:t>to show the connection between the</w:t>
      </w:r>
      <w:r w:rsidR="00DA05DC">
        <w:rPr>
          <w:iCs/>
        </w:rPr>
        <w:t xml:space="preserve"> </w:t>
      </w:r>
      <w:r w:rsidR="005846B5">
        <w:rPr>
          <w:iCs/>
        </w:rPr>
        <w:t xml:space="preserve">various management services </w:t>
      </w:r>
      <w:r w:rsidR="000E3972">
        <w:rPr>
          <w:iCs/>
        </w:rPr>
        <w:t xml:space="preserve">[2], [3] </w:t>
      </w:r>
      <w:r w:rsidR="005846B5">
        <w:rPr>
          <w:iCs/>
        </w:rPr>
        <w:t xml:space="preserve">and the </w:t>
      </w:r>
      <w:proofErr w:type="spellStart"/>
      <w:r w:rsidR="005846B5">
        <w:rPr>
          <w:iCs/>
        </w:rPr>
        <w:t>Cosla</w:t>
      </w:r>
      <w:proofErr w:type="spellEnd"/>
      <w:r w:rsidR="005846B5">
        <w:rPr>
          <w:iCs/>
        </w:rPr>
        <w:t xml:space="preserve"> management service. </w:t>
      </w:r>
      <w:r w:rsidR="00D801AC">
        <w:rPr>
          <w:iCs/>
        </w:rPr>
        <w:t xml:space="preserve"> </w:t>
      </w:r>
    </w:p>
    <w:p w14:paraId="117A2C7D" w14:textId="52E8528B" w:rsidR="006E35C3" w:rsidRDefault="005846B5">
      <w:pPr>
        <w:rPr>
          <w:iCs/>
        </w:rPr>
      </w:pPr>
      <w:r>
        <w:rPr>
          <w:noProof/>
        </w:rPr>
        <w:drawing>
          <wp:inline distT="0" distB="0" distL="0" distR="0" wp14:anchorId="5DCD5063" wp14:editId="45EA18F1">
            <wp:extent cx="6120765" cy="13049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BE839" w14:textId="6F9A8CAA" w:rsidR="00643277" w:rsidRDefault="00643277" w:rsidP="00643277">
      <w:pPr>
        <w:pStyle w:val="TF"/>
      </w:pPr>
      <w:r>
        <w:t xml:space="preserve">Figure 3.1 Example of composite management service for </w:t>
      </w:r>
      <w:proofErr w:type="spellStart"/>
      <w:r>
        <w:t>Cosla</w:t>
      </w:r>
      <w:proofErr w:type="spellEnd"/>
    </w:p>
    <w:p w14:paraId="7785877B" w14:textId="581BC7C6" w:rsidR="00C022E3" w:rsidRDefault="005846B5">
      <w:pPr>
        <w:rPr>
          <w:iCs/>
        </w:rPr>
      </w:pPr>
      <w:r>
        <w:rPr>
          <w:iCs/>
        </w:rPr>
        <w:t>The</w:t>
      </w:r>
      <w:r w:rsidR="000E3972">
        <w:rPr>
          <w:iCs/>
        </w:rPr>
        <w:t xml:space="preserve"> management service</w:t>
      </w:r>
      <w:r>
        <w:rPr>
          <w:iCs/>
        </w:rPr>
        <w:t xml:space="preserve"> </w:t>
      </w:r>
      <w:r w:rsidR="000E3972">
        <w:rPr>
          <w:iCs/>
        </w:rPr>
        <w:t>producers in the figure with dotted lines are being specified. The other management service producers are specified in the TS</w:t>
      </w:r>
      <w:r w:rsidR="00EE4D96">
        <w:rPr>
          <w:iCs/>
        </w:rPr>
        <w:t xml:space="preserve"> [2] and [3] </w:t>
      </w:r>
      <w:r w:rsidR="000E3972">
        <w:rPr>
          <w:iCs/>
        </w:rPr>
        <w:t xml:space="preserve">in the legend. </w:t>
      </w:r>
    </w:p>
    <w:p w14:paraId="65E332AB" w14:textId="77777777" w:rsidR="00643277" w:rsidRPr="00987AF6" w:rsidRDefault="00643277">
      <w:pPr>
        <w:rPr>
          <w:iCs/>
        </w:rPr>
      </w:pPr>
    </w:p>
    <w:p w14:paraId="58AB61D5" w14:textId="74B23301" w:rsidR="00C022E3" w:rsidRDefault="00C022E3">
      <w:pPr>
        <w:pStyle w:val="Heading1"/>
      </w:pPr>
      <w:r>
        <w:t>4</w:t>
      </w:r>
      <w:r>
        <w:tab/>
        <w:t>Detailed proposal</w:t>
      </w:r>
    </w:p>
    <w:p w14:paraId="735BA240" w14:textId="7DF51BC9" w:rsidR="005846B5" w:rsidRPr="005846B5" w:rsidRDefault="005846B5" w:rsidP="005846B5">
      <w:r>
        <w:t xml:space="preserve">The group is asked to endorse the proposal to include description of composite management service for </w:t>
      </w:r>
      <w:proofErr w:type="spellStart"/>
      <w:r>
        <w:t>Cosla</w:t>
      </w:r>
      <w:proofErr w:type="spellEnd"/>
      <w:r>
        <w:t xml:space="preserve"> in TS 28.53</w:t>
      </w:r>
      <w:r w:rsidR="000E3972">
        <w:t>6</w:t>
      </w:r>
      <w:r>
        <w:t>.</w:t>
      </w:r>
    </w:p>
    <w:sectPr w:rsidR="005846B5" w:rsidRPr="005846B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31103" w14:textId="77777777" w:rsidR="005A6DD8" w:rsidRDefault="005A6DD8">
      <w:r>
        <w:separator/>
      </w:r>
    </w:p>
  </w:endnote>
  <w:endnote w:type="continuationSeparator" w:id="0">
    <w:p w14:paraId="02106F11" w14:textId="77777777" w:rsidR="005A6DD8" w:rsidRDefault="005A6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644EB0" w14:textId="77777777" w:rsidR="005A6DD8" w:rsidRDefault="005A6DD8">
      <w:r>
        <w:separator/>
      </w:r>
    </w:p>
  </w:footnote>
  <w:footnote w:type="continuationSeparator" w:id="0">
    <w:p w14:paraId="5F7A3685" w14:textId="77777777" w:rsidR="005A6DD8" w:rsidRDefault="005A6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76A28"/>
    <w:rsid w:val="000819D8"/>
    <w:rsid w:val="000934A6"/>
    <w:rsid w:val="00097867"/>
    <w:rsid w:val="000A2C6C"/>
    <w:rsid w:val="000A4660"/>
    <w:rsid w:val="000D1B5B"/>
    <w:rsid w:val="000E3972"/>
    <w:rsid w:val="0010401F"/>
    <w:rsid w:val="00112FC3"/>
    <w:rsid w:val="001542C5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0C5"/>
    <w:rsid w:val="004D55C2"/>
    <w:rsid w:val="00521131"/>
    <w:rsid w:val="00527C0B"/>
    <w:rsid w:val="005410F6"/>
    <w:rsid w:val="005729C4"/>
    <w:rsid w:val="005846B5"/>
    <w:rsid w:val="0059227B"/>
    <w:rsid w:val="005970A8"/>
    <w:rsid w:val="005A6DD8"/>
    <w:rsid w:val="005B0966"/>
    <w:rsid w:val="005B3950"/>
    <w:rsid w:val="005B795D"/>
    <w:rsid w:val="00613820"/>
    <w:rsid w:val="00643277"/>
    <w:rsid w:val="00652248"/>
    <w:rsid w:val="00657B80"/>
    <w:rsid w:val="00675B3C"/>
    <w:rsid w:val="00693AA5"/>
    <w:rsid w:val="0069495C"/>
    <w:rsid w:val="006D340A"/>
    <w:rsid w:val="006E35C3"/>
    <w:rsid w:val="00715A1D"/>
    <w:rsid w:val="00742655"/>
    <w:rsid w:val="00751919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B648A"/>
    <w:rsid w:val="008F5F33"/>
    <w:rsid w:val="0091046A"/>
    <w:rsid w:val="00926ABD"/>
    <w:rsid w:val="00932B94"/>
    <w:rsid w:val="00947F4E"/>
    <w:rsid w:val="009607D3"/>
    <w:rsid w:val="00966D47"/>
    <w:rsid w:val="00987AF6"/>
    <w:rsid w:val="00992312"/>
    <w:rsid w:val="009A3CB3"/>
    <w:rsid w:val="009C0DED"/>
    <w:rsid w:val="00A07D75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549A7"/>
    <w:rsid w:val="00B76763"/>
    <w:rsid w:val="00B7732B"/>
    <w:rsid w:val="00B879F0"/>
    <w:rsid w:val="00BC25AA"/>
    <w:rsid w:val="00BD5FB3"/>
    <w:rsid w:val="00C022E3"/>
    <w:rsid w:val="00C125A1"/>
    <w:rsid w:val="00C22D17"/>
    <w:rsid w:val="00C4712D"/>
    <w:rsid w:val="00C555C9"/>
    <w:rsid w:val="00C76A69"/>
    <w:rsid w:val="00C94F55"/>
    <w:rsid w:val="00CA2806"/>
    <w:rsid w:val="00CA7D62"/>
    <w:rsid w:val="00CB07A8"/>
    <w:rsid w:val="00CB772C"/>
    <w:rsid w:val="00CD4A57"/>
    <w:rsid w:val="00D146F1"/>
    <w:rsid w:val="00D33604"/>
    <w:rsid w:val="00D37B08"/>
    <w:rsid w:val="00D437FF"/>
    <w:rsid w:val="00D5130C"/>
    <w:rsid w:val="00D62265"/>
    <w:rsid w:val="00D801AC"/>
    <w:rsid w:val="00D838AB"/>
    <w:rsid w:val="00D8512E"/>
    <w:rsid w:val="00DA05DC"/>
    <w:rsid w:val="00DA1E58"/>
    <w:rsid w:val="00DE4EF2"/>
    <w:rsid w:val="00DF2C0E"/>
    <w:rsid w:val="00E04DB6"/>
    <w:rsid w:val="00E06FFB"/>
    <w:rsid w:val="00E30155"/>
    <w:rsid w:val="00E91FE1"/>
    <w:rsid w:val="00E965DB"/>
    <w:rsid w:val="00EA5E95"/>
    <w:rsid w:val="00ED4954"/>
    <w:rsid w:val="00EE0943"/>
    <w:rsid w:val="00EE33A2"/>
    <w:rsid w:val="00EE4D96"/>
    <w:rsid w:val="00F67A1C"/>
    <w:rsid w:val="00F82C5B"/>
    <w:rsid w:val="00F82C6D"/>
    <w:rsid w:val="00F8555F"/>
    <w:rsid w:val="00FB5301"/>
    <w:rsid w:val="00FF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3.png@01D7D257.77103EA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2F7C2422-9115-43FA-B562-76C5BE7AA6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A17E8D-C277-4899-8B89-46276C9C15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7BFA0DF4-FA65-4698-99C1-04D40AC8E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83AF0D-FDD8-4A3E-AEA0-8F37EBF8519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1360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27</cp:revision>
  <cp:lastPrinted>1900-01-01T00:00:00Z</cp:lastPrinted>
  <dcterms:created xsi:type="dcterms:W3CDTF">2021-10-26T08:01:00Z</dcterms:created>
  <dcterms:modified xsi:type="dcterms:W3CDTF">2021-11-05T21:11:00Z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EriCOLLProjects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EriCOLLOrganizationUnit">
    <vt:lpwstr>4;##BNET DU Radio|30f3d0da-c745-4995-a5af-2a58fece61df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